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E9B9B" w14:textId="553F91E6" w:rsidR="003D29C3" w:rsidRPr="00D139F0" w:rsidRDefault="00D139F0" w:rsidP="00C93E01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D139F0">
        <w:rPr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35B41F76" wp14:editId="545342BB">
            <wp:simplePos x="0" y="0"/>
            <wp:positionH relativeFrom="margin">
              <wp:posOffset>-102191</wp:posOffset>
            </wp:positionH>
            <wp:positionV relativeFrom="margin">
              <wp:posOffset>-278898</wp:posOffset>
            </wp:positionV>
            <wp:extent cx="1105535" cy="1107440"/>
            <wp:effectExtent l="0" t="0" r="0" b="0"/>
            <wp:wrapSquare wrapText="bothSides"/>
            <wp:docPr id="1" name="Picture 1" descr="C:\Users\rezaee\Desktop\لوگو\photo_2017-08-20_08-4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esktop\لوگو\photo_2017-08-20_08-42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9F0">
        <w:rPr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742FFD2A" wp14:editId="34DC9FC9">
            <wp:simplePos x="0" y="0"/>
            <wp:positionH relativeFrom="margin">
              <wp:posOffset>5870575</wp:posOffset>
            </wp:positionH>
            <wp:positionV relativeFrom="margin">
              <wp:posOffset>-200660</wp:posOffset>
            </wp:positionV>
            <wp:extent cx="698500" cy="81915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E01" w:rsidRPr="00D139F0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5F153F" w:rsidRPr="00D139F0">
        <w:rPr>
          <w:rFonts w:cs="B Titr" w:hint="cs"/>
          <w:b/>
          <w:bCs/>
          <w:sz w:val="28"/>
          <w:szCs w:val="28"/>
          <w:rtl/>
          <w:lang w:bidi="fa-IR"/>
        </w:rPr>
        <w:t>فرم شماره</w:t>
      </w:r>
      <w:r w:rsidR="00C93E01" w:rsidRPr="00D139F0">
        <w:rPr>
          <w:rFonts w:cs="B Titr" w:hint="cs"/>
          <w:b/>
          <w:bCs/>
          <w:sz w:val="28"/>
          <w:szCs w:val="28"/>
          <w:rtl/>
          <w:lang w:bidi="fa-IR"/>
        </w:rPr>
        <w:t xml:space="preserve">6  </w:t>
      </w:r>
    </w:p>
    <w:p w14:paraId="513B5378" w14:textId="741184BF" w:rsidR="007D555E" w:rsidRPr="00D139F0" w:rsidRDefault="007D555E" w:rsidP="003D29C3">
      <w:pPr>
        <w:bidi/>
        <w:ind w:left="282" w:right="284"/>
        <w:rPr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2762B" wp14:editId="32D379F0">
                <wp:simplePos x="0" y="0"/>
                <wp:positionH relativeFrom="margin">
                  <wp:posOffset>437309</wp:posOffset>
                </wp:positionH>
                <wp:positionV relativeFrom="paragraph">
                  <wp:posOffset>103372</wp:posOffset>
                </wp:positionV>
                <wp:extent cx="5721350" cy="850605"/>
                <wp:effectExtent l="38100" t="0" r="50800" b="26035"/>
                <wp:wrapNone/>
                <wp:docPr id="7" name="Ribbon: Tilt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50605"/>
                        </a:xfrm>
                        <a:prstGeom prst="ribbon2">
                          <a:avLst>
                            <a:gd name="adj1" fmla="val 16667"/>
                            <a:gd name="adj2" fmla="val 71218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4BC2C3" w14:textId="6A2E4C09" w:rsidR="007D555E" w:rsidRPr="005F153F" w:rsidRDefault="007D555E" w:rsidP="007D555E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5F153F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رضایت و برائت قبل از همودیالیز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2762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6" type="#_x0000_t54" style="position:absolute;left:0;text-align:left;margin-left:34.45pt;margin-top:8.15pt;width:450.5pt;height:6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" adj="3108,18000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04BC2C3" w14:textId="6A2E4C09" w:rsidR="007D555E" w:rsidRPr="005F153F" w:rsidRDefault="007D555E" w:rsidP="007D555E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  <w:lang w:bidi="fa-IR"/>
                        </w:rPr>
                      </w:pPr>
                      <w:r w:rsidRPr="005F153F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رضایت و برائت قبل از همودیالیز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DF23D" w14:textId="77777777" w:rsidR="007D555E" w:rsidRPr="00D139F0" w:rsidRDefault="007D555E" w:rsidP="007D555E">
      <w:pPr>
        <w:bidi/>
        <w:rPr>
          <w:sz w:val="18"/>
          <w:szCs w:val="18"/>
          <w:rtl/>
        </w:rPr>
      </w:pPr>
    </w:p>
    <w:p w14:paraId="66D2FF7A" w14:textId="479FCF46" w:rsidR="00666AFB" w:rsidRPr="00D139F0" w:rsidRDefault="00666AFB" w:rsidP="00666AFB">
      <w:pPr>
        <w:bidi/>
        <w:ind w:left="282" w:right="284"/>
        <w:jc w:val="center"/>
        <w:rPr>
          <w:rFonts w:cs="Nazanin"/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text" w:horzAnchor="page" w:tblpXSpec="center" w:tblpY="42"/>
        <w:bidiVisual/>
        <w:tblW w:w="10336" w:type="dxa"/>
        <w:tblLook w:val="04A0" w:firstRow="1" w:lastRow="0" w:firstColumn="1" w:lastColumn="0" w:noHBand="0" w:noVBand="1"/>
      </w:tblPr>
      <w:tblGrid>
        <w:gridCol w:w="10336"/>
      </w:tblGrid>
      <w:tr w:rsidR="00666AFB" w:rsidRPr="00D139F0" w14:paraId="2F383144" w14:textId="77777777" w:rsidTr="00D139F0">
        <w:trPr>
          <w:trHeight w:val="1458"/>
        </w:trPr>
        <w:tc>
          <w:tcPr>
            <w:tcW w:w="10336" w:type="dxa"/>
          </w:tcPr>
          <w:p w14:paraId="64370E9B" w14:textId="681F2909" w:rsidR="00666AFB" w:rsidRPr="00D139F0" w:rsidRDefault="00666AFB" w:rsidP="00D139F0">
            <w:pPr>
              <w:bidi/>
              <w:spacing w:line="228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D139F0">
              <w:rPr>
                <w:rFonts w:cs="B Titr" w:hint="cs"/>
                <w:sz w:val="38"/>
                <w:szCs w:val="38"/>
                <w:rtl/>
                <w:lang w:bidi="fa-IR"/>
              </w:rPr>
              <w:t>عوارض همودیالیز</w:t>
            </w:r>
            <w:r w:rsidRPr="00D139F0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 xml:space="preserve">: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>کاهش فشارخون ،تهوع ، سردرد استفراغ،سرگیجه،کرامپ عضلانی، کاهش قندخون،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 xml:space="preserve">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 xml:space="preserve">دردعضلانی و اسکلتی،خراب شدن و ازکارافتادن فیستول و یا پارگی عروق، مشکلات قلبی </w:t>
            </w:r>
            <w:r w:rsidR="000D5449"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 xml:space="preserve"> خونریزی (گوارشی مغزی محل فیستول و.... سندرم عدم تعادل اختلا</w:t>
            </w:r>
            <w:bookmarkStart w:id="0" w:name="_GoBack"/>
            <w:bookmarkEnd w:id="0"/>
            <w:r w:rsidR="000D5449"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>ل الکترولیتی مثل کاهش پتاسیم و کاهش کلسیم بدن شوک آنافیلاکسی به دلیل حساسیت به فیلتر دیالیز مرگ ناگهانی موقع خروج خون از بدن به دلیل افت فشارخون</w:t>
            </w:r>
          </w:p>
        </w:tc>
      </w:tr>
      <w:tr w:rsidR="00666AFB" w:rsidRPr="00D139F0" w14:paraId="61D7819A" w14:textId="77777777" w:rsidTr="00D139F0">
        <w:tc>
          <w:tcPr>
            <w:tcW w:w="10336" w:type="dxa"/>
          </w:tcPr>
          <w:p w14:paraId="7C86FE52" w14:textId="76090F59" w:rsidR="00666AFB" w:rsidRPr="00D139F0" w:rsidRDefault="00666AFB" w:rsidP="00D139F0">
            <w:pPr>
              <w:bidi/>
              <w:spacing w:line="228" w:lineRule="auto"/>
              <w:contextualSpacing/>
              <w:jc w:val="both"/>
              <w:rPr>
                <w:rFonts w:cs="B Nazanin"/>
                <w:b/>
                <w:bCs/>
                <w:sz w:val="38"/>
                <w:szCs w:val="38"/>
                <w:rtl/>
                <w:lang w:bidi="fa-IR"/>
              </w:rPr>
            </w:pPr>
            <w:r w:rsidRPr="00D139F0">
              <w:rPr>
                <w:rFonts w:cs="B Titr" w:hint="cs"/>
                <w:sz w:val="38"/>
                <w:szCs w:val="38"/>
                <w:rtl/>
                <w:lang w:bidi="fa-IR"/>
              </w:rPr>
              <w:t>مزایای همودیالیز</w:t>
            </w:r>
            <w:r w:rsidRPr="00D139F0">
              <w:rPr>
                <w:rFonts w:cs="B Nazanin" w:hint="cs"/>
                <w:b/>
                <w:bCs/>
                <w:sz w:val="38"/>
                <w:szCs w:val="38"/>
                <w:rtl/>
                <w:lang w:bidi="fa-IR"/>
              </w:rPr>
              <w:t>:</w:t>
            </w:r>
            <w:r w:rsidR="00CB2FB0" w:rsidRPr="00D139F0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 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دیالیز حاد: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بهبود حال عمومی،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بهبودتنگی نفس،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بهبود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اختلال الکترولیتی خطرناک مثل افزایش پتاسیم،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بهبودسریع اسیدوز،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بهبود قابل توجه اشتها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 xml:space="preserve">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 xml:space="preserve">بیمارهیج  دخالتی در دیالیز خود ندارد، بقیه اوقات روز 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>آ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>زاد است، در طی چهار ساعت دیالیز با کیفیت انجام می شود،</w:t>
            </w:r>
            <w:r w:rsidR="00D139F0">
              <w:rPr>
                <w:rFonts w:cs="B Mitra"/>
                <w:b/>
                <w:bCs/>
                <w:sz w:val="38"/>
                <w:szCs w:val="38"/>
                <w:lang w:bidi="fa-IR"/>
              </w:rPr>
              <w:t xml:space="preserve">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>دیالیز توسط پرستار با تجربه انجام می شود،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مشکلات فزایش وزن را ندارد، بهبود و یا افزایش اکسیژن خون شریانی و سایر موارد</w:t>
            </w:r>
            <w:r w:rsidRPr="00D139F0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                                    </w:t>
            </w:r>
          </w:p>
        </w:tc>
      </w:tr>
      <w:tr w:rsidR="00666AFB" w:rsidRPr="00D139F0" w14:paraId="3345BE86" w14:textId="77777777" w:rsidTr="00D139F0">
        <w:trPr>
          <w:trHeight w:val="712"/>
        </w:trPr>
        <w:tc>
          <w:tcPr>
            <w:tcW w:w="10336" w:type="dxa"/>
          </w:tcPr>
          <w:p w14:paraId="7D18962A" w14:textId="3172A19E" w:rsidR="00666AFB" w:rsidRPr="00D139F0" w:rsidRDefault="00666AFB" w:rsidP="00D139F0">
            <w:pPr>
              <w:bidi/>
              <w:spacing w:line="228" w:lineRule="auto"/>
              <w:ind w:right="284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D139F0">
              <w:rPr>
                <w:rFonts w:cs="B Titr" w:hint="cs"/>
                <w:sz w:val="38"/>
                <w:szCs w:val="38"/>
                <w:rtl/>
              </w:rPr>
              <w:t>عنوان روش های جایگزین</w:t>
            </w:r>
            <w:r w:rsidRPr="00D139F0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: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دیالیز صفاقی، پیوند کلیه</w:t>
            </w:r>
            <w:r w:rsidRPr="00D139F0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</w:tr>
      <w:tr w:rsidR="00666AFB" w:rsidRPr="00D139F0" w14:paraId="45ADBE5D" w14:textId="77777777" w:rsidTr="00D139F0">
        <w:trPr>
          <w:trHeight w:val="1170"/>
        </w:trPr>
        <w:tc>
          <w:tcPr>
            <w:tcW w:w="10336" w:type="dxa"/>
          </w:tcPr>
          <w:p w14:paraId="7CF10730" w14:textId="52B629E9" w:rsidR="00666AFB" w:rsidRPr="00D139F0" w:rsidRDefault="00666AFB" w:rsidP="00D139F0">
            <w:pPr>
              <w:bidi/>
              <w:spacing w:line="228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D139F0">
              <w:rPr>
                <w:rFonts w:cs="B Titr" w:hint="cs"/>
                <w:sz w:val="38"/>
                <w:szCs w:val="38"/>
                <w:rtl/>
              </w:rPr>
              <w:t>عوارض روش های جایگزین</w:t>
            </w:r>
            <w:r w:rsidRPr="00D139F0">
              <w:rPr>
                <w:rFonts w:cs="B Nazanin" w:hint="cs"/>
                <w:b/>
                <w:bCs/>
                <w:sz w:val="38"/>
                <w:szCs w:val="38"/>
                <w:rtl/>
              </w:rPr>
              <w:t>: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احتمال عفونت صفاق: وجود کاتتر دائم، امکان اضافه وزن، درگیر بودن بیمار در دیالیز خود،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نیاز به مکانی برای انبار وسایل دیالیز، انجام دیالیز</w:t>
            </w:r>
            <w:r w:rsidR="00A61251"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>،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 روزانه،</w:t>
            </w:r>
            <w:r w:rsidR="00A61251" w:rsidRPr="00D139F0">
              <w:rPr>
                <w:rFonts w:cs="B Mitra"/>
                <w:b/>
                <w:bCs/>
                <w:sz w:val="38"/>
                <w:szCs w:val="38"/>
              </w:rPr>
              <w:t xml:space="preserve">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مخارج سنگین پیوند کلیه و عوارض پس از جراحی،احتمال پس زدن کلیه پیوندی</w:t>
            </w:r>
          </w:p>
        </w:tc>
      </w:tr>
      <w:tr w:rsidR="00666AFB" w:rsidRPr="00D139F0" w14:paraId="41861340" w14:textId="77777777" w:rsidTr="00D139F0">
        <w:trPr>
          <w:trHeight w:val="2135"/>
        </w:trPr>
        <w:tc>
          <w:tcPr>
            <w:tcW w:w="10336" w:type="dxa"/>
          </w:tcPr>
          <w:p w14:paraId="2A3800DE" w14:textId="5F4A3E9F" w:rsidR="00666AFB" w:rsidRPr="00D139F0" w:rsidRDefault="00666AFB" w:rsidP="00D139F0">
            <w:pPr>
              <w:bidi/>
              <w:spacing w:line="228" w:lineRule="auto"/>
              <w:jc w:val="both"/>
              <w:rPr>
                <w:rFonts w:cs="B Nazanin"/>
                <w:b/>
                <w:bCs/>
                <w:sz w:val="38"/>
                <w:szCs w:val="38"/>
                <w:rtl/>
              </w:rPr>
            </w:pPr>
            <w:r w:rsidRPr="00D139F0">
              <w:rPr>
                <w:rFonts w:cs="B Titr" w:hint="cs"/>
                <w:sz w:val="38"/>
                <w:szCs w:val="38"/>
                <w:rtl/>
              </w:rPr>
              <w:t>مزایای روش های جایگزین</w:t>
            </w:r>
            <w:r w:rsidRPr="00D139F0">
              <w:rPr>
                <w:rFonts w:cs="B Nazanin" w:hint="cs"/>
                <w:b/>
                <w:bCs/>
                <w:sz w:val="38"/>
                <w:szCs w:val="38"/>
                <w:rtl/>
              </w:rPr>
              <w:t>:</w:t>
            </w:r>
            <w:r w:rsidR="00CB2FB0" w:rsidRPr="00D139F0">
              <w:rPr>
                <w:rFonts w:cs="B Nazanin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D139F0">
              <w:rPr>
                <w:rFonts w:cs="B Mitra" w:hint="cs"/>
                <w:b/>
                <w:bCs/>
                <w:spacing w:val="-12"/>
                <w:sz w:val="38"/>
                <w:szCs w:val="38"/>
                <w:rtl/>
              </w:rPr>
              <w:t xml:space="preserve">بیمار درگیر نوبتهای دیالیز نمی باشد،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 xml:space="preserve">هزینه دیالیز کمتر خواهد بود، </w:t>
            </w:r>
            <w:r w:rsidRPr="00D139F0">
              <w:rPr>
                <w:rFonts w:cs="B Mitra" w:hint="cs"/>
                <w:b/>
                <w:bCs/>
                <w:spacing w:val="-4"/>
                <w:sz w:val="38"/>
                <w:szCs w:val="38"/>
                <w:rtl/>
              </w:rPr>
              <w:t xml:space="preserve">در همه مکانها با ایجاد شرایط خاصی می توان دیالیز صفاقی انجام داد،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بیمار پیوندی بدون مشکلات به زندگی عادی بر می گردد،</w:t>
            </w:r>
            <w:r w:rsidR="00D139F0" w:rsidRPr="00D139F0">
              <w:rPr>
                <w:rFonts w:cs="B Mitra" w:hint="cs"/>
                <w:b/>
                <w:bCs/>
                <w:sz w:val="38"/>
                <w:szCs w:val="38"/>
                <w:rtl/>
                <w:lang w:bidi="fa-IR"/>
              </w:rPr>
              <w:t xml:space="preserve"> 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عدم نیاز به مراجعات مکرر به بی</w:t>
            </w:r>
            <w:r w:rsidR="00CB2FB0"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مارستان، کاهش هزینه های درمان و</w:t>
            </w:r>
            <w:r w:rsidRPr="00D139F0">
              <w:rPr>
                <w:rFonts w:cs="B Mitra" w:hint="cs"/>
                <w:b/>
                <w:bCs/>
                <w:sz w:val="38"/>
                <w:szCs w:val="38"/>
                <w:rtl/>
              </w:rPr>
              <w:t>کاهش مشکلات اجتماعی .</w:t>
            </w:r>
          </w:p>
        </w:tc>
      </w:tr>
    </w:tbl>
    <w:p w14:paraId="7513BD17" w14:textId="77777777" w:rsidR="00D139F0" w:rsidRPr="00D139F0" w:rsidRDefault="00D139F0" w:rsidP="00666AFB">
      <w:pPr>
        <w:bidi/>
        <w:ind w:left="282" w:right="284"/>
        <w:jc w:val="center"/>
        <w:rPr>
          <w:rFonts w:cs="Nazanin"/>
          <w:b/>
          <w:bCs/>
          <w:sz w:val="8"/>
          <w:szCs w:val="8"/>
          <w:lang w:bidi="fa-IR"/>
        </w:rPr>
      </w:pPr>
    </w:p>
    <w:p w14:paraId="58DF961B" w14:textId="6B88AAF7" w:rsidR="00666AFB" w:rsidRDefault="003D29C3" w:rsidP="00D139F0">
      <w:pPr>
        <w:bidi/>
        <w:ind w:left="282" w:right="284"/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فانیان سوپروایزر آموزش سلامت  مرکز قلب شهید چمران</w:t>
      </w:r>
      <w:r w:rsidR="00A10358">
        <w:rPr>
          <w:rFonts w:cs="Nazanin" w:hint="cs"/>
          <w:b/>
          <w:bCs/>
          <w:sz w:val="28"/>
          <w:szCs w:val="28"/>
          <w:rtl/>
          <w:lang w:bidi="fa-IR"/>
        </w:rPr>
        <w:t>،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تابستان 1402</w:t>
      </w:r>
    </w:p>
    <w:sectPr w:rsidR="00666AFB" w:rsidSect="00D139F0">
      <w:pgSz w:w="11907" w:h="16840" w:code="9"/>
      <w:pgMar w:top="851" w:right="851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9pt;height:10.9pt" o:bullet="t">
        <v:imagedata r:id="rId1" o:title="mso8C42"/>
      </v:shape>
    </w:pict>
  </w:numPicBullet>
  <w:abstractNum w:abstractNumId="0" w15:restartNumberingAfterBreak="0">
    <w:nsid w:val="1E085BD7"/>
    <w:multiLevelType w:val="hybridMultilevel"/>
    <w:tmpl w:val="4240ED24"/>
    <w:lvl w:ilvl="0" w:tplc="04090009">
      <w:start w:val="1"/>
      <w:numFmt w:val="bullet"/>
      <w:lvlText w:val=""/>
      <w:lvlJc w:val="left"/>
      <w:pPr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67DE0386"/>
    <w:multiLevelType w:val="hybridMultilevel"/>
    <w:tmpl w:val="99FE33C0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F"/>
    <w:rsid w:val="0003231B"/>
    <w:rsid w:val="00035791"/>
    <w:rsid w:val="00035CF9"/>
    <w:rsid w:val="00044D09"/>
    <w:rsid w:val="000756F3"/>
    <w:rsid w:val="000846A0"/>
    <w:rsid w:val="000D5449"/>
    <w:rsid w:val="0014286F"/>
    <w:rsid w:val="00161F7F"/>
    <w:rsid w:val="001B31BD"/>
    <w:rsid w:val="001E6C03"/>
    <w:rsid w:val="002023B0"/>
    <w:rsid w:val="00276576"/>
    <w:rsid w:val="00287357"/>
    <w:rsid w:val="002A2882"/>
    <w:rsid w:val="002A62AD"/>
    <w:rsid w:val="002B0DD6"/>
    <w:rsid w:val="002C7549"/>
    <w:rsid w:val="002D0D38"/>
    <w:rsid w:val="002E2DA2"/>
    <w:rsid w:val="00302662"/>
    <w:rsid w:val="00321C79"/>
    <w:rsid w:val="00375BED"/>
    <w:rsid w:val="003C472E"/>
    <w:rsid w:val="003D29C3"/>
    <w:rsid w:val="003F3D9D"/>
    <w:rsid w:val="00477B18"/>
    <w:rsid w:val="00487239"/>
    <w:rsid w:val="004C37B7"/>
    <w:rsid w:val="004E0DD5"/>
    <w:rsid w:val="004F4DC6"/>
    <w:rsid w:val="004F5BBB"/>
    <w:rsid w:val="00530D0C"/>
    <w:rsid w:val="0057449D"/>
    <w:rsid w:val="005A1EE0"/>
    <w:rsid w:val="005D6087"/>
    <w:rsid w:val="005F153F"/>
    <w:rsid w:val="0066371D"/>
    <w:rsid w:val="00666AFB"/>
    <w:rsid w:val="006D6A5F"/>
    <w:rsid w:val="006E272D"/>
    <w:rsid w:val="006F1C1B"/>
    <w:rsid w:val="00732624"/>
    <w:rsid w:val="007434A7"/>
    <w:rsid w:val="00755581"/>
    <w:rsid w:val="0076076A"/>
    <w:rsid w:val="007C715B"/>
    <w:rsid w:val="007D555E"/>
    <w:rsid w:val="0083438D"/>
    <w:rsid w:val="00860414"/>
    <w:rsid w:val="00913666"/>
    <w:rsid w:val="00936BAA"/>
    <w:rsid w:val="00954166"/>
    <w:rsid w:val="009637DE"/>
    <w:rsid w:val="00964FE6"/>
    <w:rsid w:val="00985678"/>
    <w:rsid w:val="009A7DC4"/>
    <w:rsid w:val="009B074D"/>
    <w:rsid w:val="00A10358"/>
    <w:rsid w:val="00A61251"/>
    <w:rsid w:val="00A6712C"/>
    <w:rsid w:val="00AC7DC9"/>
    <w:rsid w:val="00AD2372"/>
    <w:rsid w:val="00B00B26"/>
    <w:rsid w:val="00B26361"/>
    <w:rsid w:val="00B4597B"/>
    <w:rsid w:val="00B6680D"/>
    <w:rsid w:val="00B853BD"/>
    <w:rsid w:val="00C521E6"/>
    <w:rsid w:val="00C53E18"/>
    <w:rsid w:val="00C93E01"/>
    <w:rsid w:val="00CB2FB0"/>
    <w:rsid w:val="00CB59E5"/>
    <w:rsid w:val="00CF6020"/>
    <w:rsid w:val="00D139F0"/>
    <w:rsid w:val="00D7169D"/>
    <w:rsid w:val="00D924D4"/>
    <w:rsid w:val="00D9287C"/>
    <w:rsid w:val="00E42522"/>
    <w:rsid w:val="00E52614"/>
    <w:rsid w:val="00E63BF6"/>
    <w:rsid w:val="00ED04D4"/>
    <w:rsid w:val="00EE6ADD"/>
    <w:rsid w:val="00F0583C"/>
    <w:rsid w:val="00F11792"/>
    <w:rsid w:val="00F210CD"/>
    <w:rsid w:val="00F61BBF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B27"/>
  <w15:chartTrackingRefBased/>
  <w15:docId w15:val="{FF0E8502-2087-4986-98E8-94741AB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10</cp:revision>
  <cp:lastPrinted>2023-04-20T05:09:00Z</cp:lastPrinted>
  <dcterms:created xsi:type="dcterms:W3CDTF">2023-08-10T10:52:00Z</dcterms:created>
  <dcterms:modified xsi:type="dcterms:W3CDTF">2024-05-19T05:30:00Z</dcterms:modified>
</cp:coreProperties>
</file>